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D6" w:rsidRPr="002A42D6" w:rsidRDefault="002A42D6" w:rsidP="002A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D6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2A42D6" w:rsidRPr="002A42D6" w:rsidRDefault="002A42D6" w:rsidP="002A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D6">
        <w:rPr>
          <w:rFonts w:ascii="Times New Roman" w:hAnsi="Times New Roman" w:cs="Times New Roman"/>
          <w:b/>
          <w:sz w:val="24"/>
          <w:szCs w:val="24"/>
        </w:rPr>
        <w:t xml:space="preserve">Октябрьского  муниципального образования </w:t>
      </w:r>
      <w:proofErr w:type="spellStart"/>
      <w:r w:rsidRPr="002A42D6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2A42D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2A42D6" w:rsidRPr="002A42D6" w:rsidRDefault="002A42D6" w:rsidP="002A42D6">
      <w:pPr>
        <w:rPr>
          <w:rFonts w:ascii="Times New Roman" w:hAnsi="Times New Roman" w:cs="Times New Roman"/>
          <w:b/>
          <w:sz w:val="24"/>
          <w:szCs w:val="24"/>
        </w:rPr>
      </w:pPr>
      <w:r w:rsidRPr="002A42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A42D6" w:rsidRPr="002A42D6" w:rsidRDefault="002A42D6" w:rsidP="002A4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D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A42D6" w:rsidRPr="002A42D6" w:rsidRDefault="002A42D6" w:rsidP="002A4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41" w:rsidRPr="002A42D6" w:rsidRDefault="002A42D6" w:rsidP="002A42D6">
      <w:pPr>
        <w:rPr>
          <w:rFonts w:ascii="Times New Roman" w:hAnsi="Times New Roman" w:cs="Times New Roman"/>
          <w:b/>
          <w:sz w:val="24"/>
          <w:szCs w:val="24"/>
        </w:rPr>
      </w:pPr>
      <w:r w:rsidRPr="002A42D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 xml:space="preserve">23 декабря </w:t>
      </w:r>
      <w:r w:rsidRPr="002A42D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42D6">
        <w:rPr>
          <w:rFonts w:ascii="Times New Roman" w:hAnsi="Times New Roman" w:cs="Times New Roman"/>
          <w:b/>
          <w:sz w:val="24"/>
          <w:szCs w:val="24"/>
        </w:rPr>
        <w:t xml:space="preserve"> г.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72/124</w:t>
      </w:r>
      <w:r w:rsidRPr="002A42D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F41" w:rsidRDefault="005F0F41" w:rsidP="005F0F41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 учетной политике </w:t>
      </w:r>
    </w:p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Руководствуясь:</w:t>
      </w:r>
    </w:p>
    <w:p w:rsidR="002A42D6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«О бухгалтерском учете»</w:t>
      </w:r>
      <w:proofErr w:type="gramStart"/>
      <w:r>
        <w:rPr>
          <w:rFonts w:ascii="Times New Roman" w:hAnsi="Times New Roman" w:cs="Times New Roman"/>
        </w:rPr>
        <w:t>;Н</w:t>
      </w:r>
      <w:proofErr w:type="gramEnd"/>
      <w:r>
        <w:rPr>
          <w:rFonts w:ascii="Times New Roman" w:hAnsi="Times New Roman" w:cs="Times New Roman"/>
        </w:rPr>
        <w:t>алоговым Кодексом Российской Федерации;</w:t>
      </w:r>
      <w:r w:rsidR="002A4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Бюджетным Кодексом Российской Федерации;</w:t>
      </w:r>
      <w:r w:rsidR="002A4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Инструкцией по бухгалтерскому учету;</w:t>
      </w:r>
      <w:r w:rsidR="002A4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Порядком ведения кассовых операций, утвержденным  Решением Совета директоров ЦБ от 22.09.93 № 40;</w:t>
      </w:r>
      <w:r w:rsidR="002A4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 о документах и документообороте в бухгалтерском учете, утвержденным МФ СССР от 29.07.1993гю №105;</w:t>
      </w:r>
      <w:r w:rsidR="002A4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Методическими указаниями по инвентаризации имущества и финансовых обязательств, утв. Приказом  МФ Р</w:t>
      </w:r>
      <w:r w:rsidR="002A42D6">
        <w:rPr>
          <w:rFonts w:ascii="Times New Roman" w:hAnsi="Times New Roman" w:cs="Times New Roman"/>
        </w:rPr>
        <w:t xml:space="preserve">Ф от 13.06.1995г. № 4, Совет Октябрьского муниципального образования РЕШИЛ: </w:t>
      </w:r>
    </w:p>
    <w:p w:rsidR="005F0F41" w:rsidRDefault="005F0F41" w:rsidP="005F0F41">
      <w:pPr>
        <w:ind w:left="9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Принять следующую учетную политику по бухгалтерскому и налоговому учету.</w:t>
      </w:r>
    </w:p>
    <w:p w:rsidR="005F0F41" w:rsidRDefault="005F0F41" w:rsidP="005F0F4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Бухгалтерский и налоговый учет   осуществлять силами бухгалтерской службы.   Муниципальное учреждение  «Централизованная Бухгалтерия администрации 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 района Саратовской области», осуществляет полную централизацию бухгалтерского  и налогового учета   на договорных началах.</w:t>
      </w:r>
    </w:p>
    <w:p w:rsidR="005F0F41" w:rsidRDefault="005F0F41" w:rsidP="005F0F4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Ответственными за организацию бухгалтерского и налогового учета являются:</w:t>
      </w:r>
    </w:p>
    <w:p w:rsidR="005F0F41" w:rsidRDefault="005F0F41" w:rsidP="005F0F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организацию учета;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соблюдение законодательства при выполнении хозяйственных операций;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организацию хранения первичных учетных документов.</w:t>
      </w:r>
    </w:p>
    <w:p w:rsidR="005F0F41" w:rsidRDefault="005F0F41" w:rsidP="005F0F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 формирование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учетной политики;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графика документооборота.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своевременное представление полной и достоверной бухгалтерской и налоговой отчетности.</w:t>
      </w:r>
    </w:p>
    <w:p w:rsidR="005F0F41" w:rsidRDefault="005F0F41" w:rsidP="005F0F4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Бухгалтерский учет осуществлять по плану счетов бюджетного  учета в соответствии с Инструкцией. </w:t>
      </w:r>
    </w:p>
    <w:p w:rsidR="005F0F41" w:rsidRDefault="005F0F41" w:rsidP="005F0F41">
      <w:pPr>
        <w:pStyle w:val="a4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План  счетов бухгалтерского учета содержит:</w:t>
      </w:r>
    </w:p>
    <w:p w:rsidR="005F0F41" w:rsidRDefault="005F0F41" w:rsidP="005F0F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код вида финансового обеспечения;</w:t>
      </w:r>
    </w:p>
    <w:p w:rsidR="005F0F41" w:rsidRDefault="005F0F41" w:rsidP="005F0F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синтетический код счета;</w:t>
      </w:r>
    </w:p>
    <w:p w:rsidR="005F0F41" w:rsidRDefault="005F0F41" w:rsidP="005F0F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аналитический код:</w:t>
      </w:r>
    </w:p>
    <w:p w:rsidR="005F0F41" w:rsidRDefault="005F0F41" w:rsidP="005F0F41">
      <w:pPr>
        <w:pStyle w:val="a4"/>
        <w:ind w:left="1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группа и вид объекта учета.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 Учет вести с использованием компьютерной техники и бухгалтерских программ.</w:t>
      </w:r>
    </w:p>
    <w:p w:rsidR="005F0F41" w:rsidRDefault="005F0F41" w:rsidP="005F0F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учет осуществлять по журнально-ордерной форме.</w:t>
      </w:r>
    </w:p>
    <w:p w:rsidR="005F0F41" w:rsidRDefault="005F0F41" w:rsidP="005F0F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обработке учетной информации на участках (касса, учет основных средств,  учет расходных материалов, учет и начисление  заработной платы) применяется компьютерная техника.</w:t>
      </w:r>
    </w:p>
    <w:p w:rsidR="005F0F41" w:rsidRDefault="005F0F41" w:rsidP="005F0F4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договора на оказание услуг по дистанционному сопровождению, используется  дистанционное сопровождение  Программного продукта  «Автоматизированная система бухгалтерского и хозяйственного учета для бюджетных учреждений  АС «Смета».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  Бухгалтерский  учет осуществляется по разделам: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учет основных средств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кассовые операции  (Все  расчеты проводятся через кассу централизованной бухгалтерии)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банковские операции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расчеты по заработной плате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расчеты с подотчетными лицами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расчеты с поставщиками и подрядчиками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-учет ведется  автоматизировано и без применения  АС «Смета».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Применять  формы первичных учетных документов и регистры бухгалтерского учета: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утвержденные Приказом МФ РФ от 15.12.2010г. № 173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формы учета, разработанные программой АС «Смета».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формах документов необходимо учитывать следующие обязательные реквизиты: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наименование документа;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дату составления документа;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наименование участника хозяйственной операции, от имени которого составлен документ;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содержание хозяйственной операции;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измерители хозяйственных операций в натуральном и денежном  выражении;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наименование должностных лиц, ответственных за совершение хозяйственных операций и правильность ее оформления;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личные подписи указанных лиц и их расшифровка.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подписи руководителя и главного бухгалтера в отношении  денежных и расчетных  документов, первичные документы не принимаются к бухгалтерскому учету.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proofErr w:type="gramStart"/>
      <w:r>
        <w:rPr>
          <w:rFonts w:ascii="Times New Roman" w:hAnsi="Times New Roman" w:cs="Times New Roman"/>
        </w:rPr>
        <w:t xml:space="preserve">Право первой подписи, при оформлении  бухгалтерский документов (в том числе платежных), принадлежит  главе   Октябрьского муниципального образования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и руководителю муниципального учреждения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  </w:t>
      </w:r>
      <w:proofErr w:type="gramEnd"/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второй подписи – у главного бухгалтера и заместителя главного бухгалтера муниципального учреждения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Печать  муниципального учреждения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Периодичность формирования регистров бухгалтерского учета на бумажных носителях;</w:t>
      </w:r>
    </w:p>
    <w:tbl>
      <w:tblPr>
        <w:tblStyle w:val="a5"/>
        <w:tblW w:w="0" w:type="auto"/>
        <w:tblLook w:val="04A0"/>
      </w:tblPr>
      <w:tblGrid>
        <w:gridCol w:w="437"/>
        <w:gridCol w:w="1132"/>
        <w:gridCol w:w="5914"/>
        <w:gridCol w:w="2088"/>
      </w:tblGrid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карточка учета основных средств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карточка группового учета основных средств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инвентарных карточек по учету основных средств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список нефинансовых активов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Оборотная ведомость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0504043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учета материальных ценностей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0504045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бланков строгой отчетности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совершения операций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0504049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формирования регистра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операций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 книга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0504081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Инвентаризационная опись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5F0F41" w:rsidTr="005F0F4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</w:tbl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Срок хранения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-первичных  документов;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-учетных регистров;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-отчетов и балансов,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Определяется согласно Перечню типовых документов (утв. Приказом Министерства Культуры РФ от 25.08.2010г. № 558);     при этом срок  хранения бухгалтерских документов не может быть меньше 5-ти лет.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Единицей бухгалтерского учета основных средств является инвентарный объект.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формировании </w:t>
      </w:r>
      <w:proofErr w:type="gramStart"/>
      <w:r>
        <w:rPr>
          <w:rFonts w:ascii="Times New Roman" w:hAnsi="Times New Roman" w:cs="Times New Roman"/>
        </w:rPr>
        <w:t>инвентарного</w:t>
      </w:r>
      <w:proofErr w:type="gramEnd"/>
      <w:r>
        <w:rPr>
          <w:rFonts w:ascii="Times New Roman" w:hAnsi="Times New Roman" w:cs="Times New Roman"/>
        </w:rPr>
        <w:t xml:space="preserve"> № следует заложить следующие информационные показатели: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знак                            - код аналитического счета ОС;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2-й,3-й и 4-й знаки                  -3,4,5 знаки кода ОКОФ;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5-й знак и </w:t>
      </w:r>
      <w:proofErr w:type="gramStart"/>
      <w:r>
        <w:rPr>
          <w:rFonts w:ascii="Times New Roman" w:hAnsi="Times New Roman" w:cs="Times New Roman"/>
        </w:rPr>
        <w:t>последующие</w:t>
      </w:r>
      <w:proofErr w:type="gramEnd"/>
      <w:r>
        <w:rPr>
          <w:rFonts w:ascii="Times New Roman" w:hAnsi="Times New Roman" w:cs="Times New Roman"/>
        </w:rPr>
        <w:t xml:space="preserve">        - порядковый № объекта.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Первоначальная стоимость основного средства определяется как сумма расходов на его приобретение.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Срок полезного использования  объектов основных средств определяется, при вводе их в эксплуатацию, в соответствии с максимальными сроками  полезного использования имущества, установленными для соответствующих групп в соответствии с классификацией основных средств, утвержденной Постановлением  Правительства РФ от 01.01.2002 № 1.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Начисление амортизации объектов основных средств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для бухгалтерского учета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линейным способом, исходя из – </w:t>
      </w:r>
      <w:proofErr w:type="gramStart"/>
      <w:r>
        <w:rPr>
          <w:rFonts w:ascii="Times New Roman" w:hAnsi="Times New Roman" w:cs="Times New Roman"/>
        </w:rPr>
        <w:t>максимального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определении нормы амортизации по приобретенным объектам ОС,  бывшим в употреблении, установить срок их полезного использования - с учетом срока эксплуатации объекта предыдущим собственником.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целесообразности (пригодности) дальнейшего использования объекта основных средств, оформление документации и согласование с агентом по управлению имуществом при списании или передаче объекта, осуществляет постоянно действующая комиссия.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Инвентарные  номера, присвоенные объектам основных средств, в порядке, предусмотренном действовавшими ранее Инструкциями по бухгалтерскому учету в бюджетных учреждениях, после перехода на бюджетный учет в соответствии с Инструкцией 25н, сохраняются неизменными на весь дальнейший срок эксплуатации. При невозможности обозначения инвентарного номера на объекте основных сре</w:t>
      </w:r>
      <w:proofErr w:type="gramStart"/>
      <w:r>
        <w:rPr>
          <w:rFonts w:ascii="Times New Roman" w:hAnsi="Times New Roman" w:cs="Times New Roman"/>
        </w:rPr>
        <w:t>дств  в сл</w:t>
      </w:r>
      <w:proofErr w:type="gramEnd"/>
      <w:r>
        <w:rPr>
          <w:rFonts w:ascii="Times New Roman" w:hAnsi="Times New Roman" w:cs="Times New Roman"/>
        </w:rPr>
        <w:t>учаях, определенных требованиями его эксплуатации, присвоенный ему инвентарный номер применяется в целях бюджетного учета и отражается в соответствующих регистрах учета без нанесения на объект основного средства.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Объекты, стоимостью менее 40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 за единицу приобретения, не учитывать в составе амортизируемого имущества.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Управленческий учет объектов основных средств, стоимостью до 3000 рублей, введенных в эксплуатацию, стоимость которых списывается с баланса учреждения, осуществляется  на дополнительном  </w:t>
      </w:r>
      <w:proofErr w:type="spellStart"/>
      <w:r>
        <w:rPr>
          <w:rFonts w:ascii="Times New Roman" w:hAnsi="Times New Roman" w:cs="Times New Roman"/>
        </w:rPr>
        <w:t>забалансовом</w:t>
      </w:r>
      <w:proofErr w:type="spellEnd"/>
      <w:r>
        <w:rPr>
          <w:rFonts w:ascii="Times New Roman" w:hAnsi="Times New Roman" w:cs="Times New Roman"/>
        </w:rPr>
        <w:t xml:space="preserve"> счете управленческого учета.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Материальные запасы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материальных запасов учреждения учитываются: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-материальные ценности, срок полезного использования которых не превышает 12 месяцев независимо от их стоимости,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-предметы, используемые в деятельности учреждения в течение периода превышающего 12 месяцев, но не относящимся к основным средствам в соответствии с Общероссийским  классификатором основных фондов, утвержденным постановлением Госстандарта Российской Федерации от 26 декабря 1994 № 359 (п.48 Инструкции 25н).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составе прочих материальных запасов (расходных материалов для оргтехники) учитывать - клавиатуры, мыши, диски и дискеты, тонеры и картриджи, кабели, переходники и другие соответствующие материалы, используемые для замены комплектующих, пришедших в  негодность из  состава вычислительной техники, оргтехники и оборудования. Списание таких материальных запасов при их использовании для замены комплектующих, вышедших из строя производится  на основании  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ведомости выдачи  материальных ценностей на нужды учреждения (форма 0504210)  или акта списания материальных запасов (форма 0504230).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определении размера материальных расходов при списании материалов, используемых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-на нужды учреждения  - применять метод оценки по  стоимости приобретения.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 быстрое моральное старение и частые поломки, отдельных элементов электронно-вычислительной техники (персональных компьютеров) – системные  блоки, мониторы, материнские платы, жесткие диски, дисководы и другие элементы, используемые для замены </w:t>
      </w:r>
      <w:r>
        <w:rPr>
          <w:rFonts w:ascii="Times New Roman" w:hAnsi="Times New Roman" w:cs="Times New Roman"/>
        </w:rPr>
        <w:lastRenderedPageBreak/>
        <w:t xml:space="preserve">комплектующих, пришедших в негодность, относить к прочим материальным запасам независимо от  стоимости,  осуществлять их учет в порядке, установленном для запасных  частей  к оборудованию.  (Письмо  Федерального казначейства от 27 июня 2006 г № 42-7.1-15/2.2-265 «О применении бюджетной классификации Российской Федерации при отражении кассовых расходов по модернизации объектов основных средств»). </w:t>
      </w:r>
    </w:p>
    <w:p w:rsidR="005F0F41" w:rsidRDefault="005F0F41" w:rsidP="005F0F4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на затраты расходов по  ГСМ осуществлять по фактическому расходу, но не выше норм, утвержденных распоряжением руководителя (прилагается).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Путевые листы оформляются сроком на 7-10 дней. Подписываются руководителем  или его заместителем.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Учет денежных средств.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 в кассе денежных средств  осуществляется в соответствии с Порядком ведения кассовых операций в Российской Федерации, утвержденным решением Совета директоров  ЦБ РФ от 22.09.1993 г. № 40.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Лимит наличных денежных средств устанавливается Финансовым управлением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Кассовую книгу вести автоматизированным способом и вручную.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Нумерация платежных документов производится сплошным порядком  с начала года, начиная с номера первого.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Листы  кассовой книги вести в виде «Отчета кассира» и «Вкладного листа»: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отчет кассира сдается  в бухгалтерию, вместе с первичными учетными документами: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кассовая книга хранится у кассира.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денежных средств,  ведется установленным порядком, с применением приходных и расходных  кассовых ордеров или расходных ведомостей.  Которые регистрируются в «Журнале регистрации приходных и расходных кассовых документов».</w:t>
      </w:r>
    </w:p>
    <w:p w:rsidR="005F0F41" w:rsidRDefault="005F0F41" w:rsidP="005F0F4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правильным ведением кассовой книги возлагается на главного бухгалтера МУ «ЦБ».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15.  Учет расчетов с подотчетными лицами.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получения денежных средств под отчет  имеют лица, состоящие в штате  учреждения. Срок использования подотчетных сумм, выданных на хозяйственно-операционные расходы, составляет 10 рабочих дней.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лиц, которым могут выдаваться  деньги под отчет на хозяйственно-операционные расходы</w:t>
      </w:r>
      <w:proofErr w:type="gramStart"/>
      <w:r w:rsidR="002A42D6">
        <w:rPr>
          <w:rFonts w:ascii="Times New Roman" w:hAnsi="Times New Roman" w:cs="Times New Roman"/>
        </w:rPr>
        <w:t xml:space="preserve"> :</w:t>
      </w:r>
      <w:proofErr w:type="gramEnd"/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Октябрьского МО – Тишина Елена Владимировна;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указанными работниками  заключаются договоры о полной материальной ответственности.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расчетов с подотчетными лицами ведется согласно инструкции по бюджетному учету, утвержденной Приказом Минфина РФ от 30.12.2008 года №148-н.</w:t>
      </w:r>
    </w:p>
    <w:p w:rsidR="005F0F41" w:rsidRDefault="005F0F41" w:rsidP="005F0F4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деньги под отчет, обязаны не позднее трех рабочих дней по истечении указанного срока, представить в бухгалтерию авансовый отчет об израсходованных суммах и произвести окончательный расчет по ним;</w:t>
      </w:r>
    </w:p>
    <w:p w:rsidR="005F0F41" w:rsidRDefault="005F0F41" w:rsidP="005F0F4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Разрешить подотчетным лицам в исключительных случаях использовать личные денежные средства для приобретения товаров, работ, услуг от имени и в интересах организации. Организации возмещать такие расходы незамедлительно.  </w:t>
      </w:r>
    </w:p>
    <w:p w:rsidR="005F0F41" w:rsidRDefault="005F0F41" w:rsidP="005F0F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бухгалтеру не допускать выдачи денежных средств под отчет работнику, который не отчитался по ранее выданному ему авансу, либо представил авансовый отчет, но не вернул в кассу неизрасходованную сумму.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Авансы под отчет выдаются по распоряжению руководителя учреждения на основании письменного заявления получателя с указанием назначения аванса и срока, на который он выдается.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израсходовании авансовых сумм подотчетные лица представляют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сумма денежных средств, выдаваемых на хозяйственные расходы, не может превышать 100000=00 (сто тысяч рублей) по каждой выдаче.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Выдача денежных средств под отчет работникам производится: для выдачи заработной платы работникам  через  раздатчиков денежных средств, оплату за наличный расчет  почтовых, транспортных, коммунальных и прочих услуг, для приобретения материалов, основных средств, горюче-смазочных материалов и других материальных ценностей, а также в виде аванса на командировочные расходы.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Сотрудник учреждения, получивший денежные средства под отчет, обязан отчитаться  по ним 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 10-и  рабочих  дней, но не позднее последнего рабочего дня месяца.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Право подписи  на доверенности,  на получение  материальных ценностей имеют: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- 1 подпись – Глава Октябрьского МО,  руководитель  МУ ЦБ.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- 2 подпись – главный бухгалтер МУ ЦБ,  заместитель главного бухгалтера МУ ЦБ.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Установить сроки:   10 дней использования доверенности,  5 дней отчетности по доверенности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17. Правила проведения инвентаризации активов и обязательств.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обеспечения  достоверности  данных  бухгалтерского учета и отчетности проводить:  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инвентаризацию  в кассе денежных средств ежемесячно;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инвентаризацию основных средств – один раз в год, перед  составлением  годовой отчетности;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инвентаризацию финансовых обязательств – перед составлением годовой бухгалтерской отчетности.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обязательном порядке инвентаризация проводится в случаях: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смене материального лица;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выявлении факторов хищения, злоупотребления или порчи имущества;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-стихийного бедствия;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реорганизации или ликвидации учреждения.</w:t>
      </w:r>
    </w:p>
    <w:p w:rsidR="005F0F41" w:rsidRDefault="005F0F41" w:rsidP="005F0F4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проведения инвентаризации имущества и его списания создать постоянно действующую инвентаризационную комиссию в составе:</w:t>
      </w:r>
    </w:p>
    <w:p w:rsidR="005F0F41" w:rsidRDefault="005F0F41" w:rsidP="005F0F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комиссии – Глава Октябрьского МО – Тишина Е.В.</w:t>
      </w:r>
    </w:p>
    <w:p w:rsidR="005F0F41" w:rsidRDefault="005F0F41" w:rsidP="005F0F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членов комиссии -  Главный специалист   -  Фролова Н.С.</w:t>
      </w:r>
    </w:p>
    <w:p w:rsidR="005F0F41" w:rsidRDefault="005F0F41" w:rsidP="005F0F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- Ведущий бухгалтер МУ «ЦБ» - </w:t>
      </w:r>
      <w:proofErr w:type="spellStart"/>
      <w:r>
        <w:rPr>
          <w:rFonts w:ascii="Times New Roman" w:hAnsi="Times New Roman" w:cs="Times New Roman"/>
        </w:rPr>
        <w:t>Атанесян</w:t>
      </w:r>
      <w:proofErr w:type="spellEnd"/>
      <w:r>
        <w:rPr>
          <w:rFonts w:ascii="Times New Roman" w:hAnsi="Times New Roman" w:cs="Times New Roman"/>
        </w:rPr>
        <w:t xml:space="preserve"> Л.М.</w:t>
      </w:r>
    </w:p>
    <w:p w:rsidR="005F0F41" w:rsidRDefault="005F0F41" w:rsidP="005F0F41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инвентаризации кассы создается постоянно действующая комиссия в составе сотрудников МУ «ЦБ»</w:t>
      </w:r>
    </w:p>
    <w:p w:rsidR="005F0F41" w:rsidRDefault="005F0F41" w:rsidP="005F0F41">
      <w:pPr>
        <w:pStyle w:val="a4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руководитель МУ «ЦБ»- </w:t>
      </w:r>
      <w:proofErr w:type="spellStart"/>
      <w:r>
        <w:rPr>
          <w:rFonts w:ascii="Times New Roman" w:hAnsi="Times New Roman" w:cs="Times New Roman"/>
        </w:rPr>
        <w:t>Сороконенко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5F0F41" w:rsidRDefault="005F0F41" w:rsidP="005F0F41">
      <w:pPr>
        <w:pStyle w:val="a4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руководитель группы учета – Гнедая Л.Ю.</w:t>
      </w:r>
    </w:p>
    <w:p w:rsidR="005F0F41" w:rsidRDefault="005F0F41" w:rsidP="005F0F41">
      <w:pPr>
        <w:pStyle w:val="a4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Ведущий бухгалтер – Баранова Е.Ю.</w:t>
      </w:r>
    </w:p>
    <w:p w:rsidR="005F0F41" w:rsidRDefault="005F0F41" w:rsidP="005F0F41">
      <w:pPr>
        <w:pStyle w:val="a4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Ведущий бухгалтер - </w:t>
      </w:r>
      <w:proofErr w:type="spellStart"/>
      <w:r>
        <w:rPr>
          <w:rFonts w:ascii="Times New Roman" w:hAnsi="Times New Roman" w:cs="Times New Roman"/>
        </w:rPr>
        <w:t>Оганесова</w:t>
      </w:r>
      <w:proofErr w:type="spellEnd"/>
      <w:r>
        <w:rPr>
          <w:rFonts w:ascii="Times New Roman" w:hAnsi="Times New Roman" w:cs="Times New Roman"/>
        </w:rPr>
        <w:t xml:space="preserve"> М.Е.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Утвердить перечень должностных лиц,  использующих бланки строгой отчетности: 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все сотрудники МУ «Централизованной Бухгалтерии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        муниципального района Саратовской области».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Утвердить перечень документов и порядок их представления в бухгалтерию согласно приложени</w:t>
      </w:r>
      <w:r w:rsidR="002A42D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77"/>
        <w:gridCol w:w="2835"/>
        <w:gridCol w:w="2214"/>
      </w:tblGrid>
      <w:tr w:rsidR="005F0F41" w:rsidTr="005F0F41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представления</w:t>
            </w:r>
          </w:p>
        </w:tc>
      </w:tr>
      <w:tr w:rsidR="005F0F41" w:rsidTr="005F0F41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«Табель учета рабочего времени»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25 </w:t>
            </w:r>
          </w:p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текущего месяца</w:t>
            </w:r>
          </w:p>
        </w:tc>
      </w:tr>
      <w:tr w:rsidR="005F0F41" w:rsidTr="005F0F41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распоряжения,</w:t>
            </w:r>
          </w:p>
          <w:p w:rsidR="005F0F41" w:rsidRDefault="005F0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0F41" w:rsidRDefault="005F0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больничные листы.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25 числа текущего месяца</w:t>
            </w:r>
          </w:p>
        </w:tc>
      </w:tr>
      <w:tr w:rsidR="005F0F41" w:rsidTr="005F0F41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Путевые листы на списание  ГСМ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 числа 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0F41" w:rsidTr="005F0F41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10 дней после получения из кассы, но не позднее последнего дня месяца. </w:t>
            </w:r>
          </w:p>
        </w:tc>
      </w:tr>
      <w:tr w:rsidR="005F0F41" w:rsidTr="005F0F41">
        <w:tc>
          <w:tcPr>
            <w:tcW w:w="1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и распоряжения на отпуск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F41" w:rsidRDefault="005F0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10 дней до начала отпуска</w:t>
            </w:r>
          </w:p>
        </w:tc>
      </w:tr>
    </w:tbl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Своевременное  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первичные 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 исправлений.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руководителя МУ «Централизованная Бухгалтерия администрации 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  по  документальному оформлению  хозяйственных операций и представлению в бухгалтерию необходимых документов и сведений обязательны для всех работников администрации Октябрьского МО.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Первичный учетный документ должен быть составлен в момент совершения операций, а если это не представляется возможным – непосредственно после  ее окончания.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Расчеты по оплате труда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Начисление заработной платы и пособий по нетрудоспособности производится один раз в месяц и отражается в учете в последний день месяца. Заработная плата выдается два раза в месяц, за первую половину  расчетного месяца выплата заработной платы осуществляется  в виде аванса. Руководствуясь правом об уточнении применительно к условиям работы данного работника прав и обязанностей работодателя, установленных трудовым законодательством (ст.57 Трудового Кодекса РФ), по личному заявлению работника, возможно получение им  аванса в размере 0 рублей.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Начисление пособий по временной нетрудоспособности и других выплат за счет средств социального страхования,  а также исчисление  сумм налогов по единому социальному налогу, страховых взносов на обязательное  Пенсионное страхование в Российской Федерации и обязательное страхование от несчастных случаев на производстве, отражается в бюджетном учете в Журнале по прочим операциям №8.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Начисление премий, надбавок,  денежного поощрения, материальной помощи производится  на основании распоряжений или  приказов в соответствии с утвержденным положением.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Листы нетрудоспособности, расчетные листки по отпускам, журналы операций за главного бухгалтера подписывается исполнителем производящим расчеты по указанным документам.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Исправление ошибок.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тексте и цифровых данных первичных документов  и учетных регистров подчистки и неоговоренные исправления не допускаются.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Ошибки в первичных документах, созданных вручную (за исключением кассовых и банковских), исправляются следующим образом: зачеркивается неправильный текст или сумма  и надписывается  исправленный текст или сумма. Зачеркивание производится одной  чертой так, чтобы можно было прочитать исправленное. Исправление  ошибки в первичном документе должно быть  оговорено надписью «исправлено», подтверждено подписью лиц, подписавших документ, а также проставлена дата исправления.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приходных и расходных документах, кассовых ордерах исправления не допускаются.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Ошибка, обнаруженная в регистрах бюджетного учета за отчетный период, за который бухгалтерская отчетность уже представлена, оформляется по способу «</w:t>
      </w:r>
      <w:proofErr w:type="gramStart"/>
      <w:r>
        <w:rPr>
          <w:rFonts w:ascii="Times New Roman" w:hAnsi="Times New Roman" w:cs="Times New Roman"/>
        </w:rPr>
        <w:t>Красное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сторно</w:t>
      </w:r>
      <w:proofErr w:type="spellEnd"/>
      <w:r>
        <w:rPr>
          <w:rFonts w:ascii="Times New Roman" w:hAnsi="Times New Roman" w:cs="Times New Roman"/>
        </w:rPr>
        <w:t>» и дополнительной бухгалтерской записью даты обнаружения ошибки. Дополнительные бухгалтерские записи по исправлению ошибок, а также исправления способом «</w:t>
      </w:r>
      <w:proofErr w:type="gramStart"/>
      <w:r>
        <w:rPr>
          <w:rFonts w:ascii="Times New Roman" w:hAnsi="Times New Roman" w:cs="Times New Roman"/>
        </w:rPr>
        <w:t>Красное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сторно</w:t>
      </w:r>
      <w:proofErr w:type="spellEnd"/>
      <w:r>
        <w:rPr>
          <w:rFonts w:ascii="Times New Roman" w:hAnsi="Times New Roman" w:cs="Times New Roman"/>
        </w:rPr>
        <w:t>» оформляются справкой установленной формы (ф.050833).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Организация </w:t>
      </w:r>
      <w:proofErr w:type="spellStart"/>
      <w:r>
        <w:rPr>
          <w:rFonts w:ascii="Times New Roman" w:hAnsi="Times New Roman" w:cs="Times New Roman"/>
        </w:rPr>
        <w:t>забалансового</w:t>
      </w:r>
      <w:proofErr w:type="spellEnd"/>
      <w:r>
        <w:rPr>
          <w:rFonts w:ascii="Times New Roman" w:hAnsi="Times New Roman" w:cs="Times New Roman"/>
        </w:rPr>
        <w:t xml:space="preserve"> учета.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организации </w:t>
      </w:r>
      <w:proofErr w:type="spellStart"/>
      <w:r>
        <w:rPr>
          <w:rFonts w:ascii="Times New Roman" w:hAnsi="Times New Roman" w:cs="Times New Roman"/>
        </w:rPr>
        <w:t>забалансового</w:t>
      </w:r>
      <w:proofErr w:type="spellEnd"/>
      <w:r>
        <w:rPr>
          <w:rFonts w:ascii="Times New Roman" w:hAnsi="Times New Roman" w:cs="Times New Roman"/>
        </w:rPr>
        <w:t xml:space="preserve"> учета применяются счета, перечисленные в разделе «</w:t>
      </w:r>
      <w:proofErr w:type="spellStart"/>
      <w:r>
        <w:rPr>
          <w:rFonts w:ascii="Times New Roman" w:hAnsi="Times New Roman" w:cs="Times New Roman"/>
        </w:rPr>
        <w:t>Забалансовые</w:t>
      </w:r>
      <w:proofErr w:type="spellEnd"/>
      <w:r>
        <w:rPr>
          <w:rFonts w:ascii="Times New Roman" w:hAnsi="Times New Roman" w:cs="Times New Roman"/>
        </w:rPr>
        <w:t xml:space="preserve"> счета» Инструкция 25н, для учета  основных средств, стоимостью до 3000 рублей  (Объекты основных средств, списанные с балансового учета и находящиеся в эксплуатации).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proofErr w:type="gramStart"/>
      <w:r>
        <w:rPr>
          <w:rFonts w:ascii="Times New Roman" w:hAnsi="Times New Roman" w:cs="Times New Roman"/>
        </w:rPr>
        <w:t xml:space="preserve">Налоговый  учет ведется в соответствии с Налоговым Кодексом РФ, Федеральным Законом «О бухгалтерском учете», от 21 ноября 1996г. № 129-ФЗ, бюджетным законодательством, иными  нормативно – правовыми актами Российской Федерации, регулирующими вопросы бюджетного  учета, «Инструкцией по бюджетному учету», утвержденной приказом Минфина от 01 декабря 2010г. № 157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, распорядительными (нормативными) документами, устанавливающими особенность реализации государственной политики в учреждении.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В соответствии со ст.6 и 7 Федерального закона № 139-ФЗ ответственным за организацию и ведение налогового учета  является руководитель.                                                                                                     Установить, что исчисление налогов осуществляется штатным бухгалтером МУ «Централизованная Бухгалтерия администрации </w:t>
      </w:r>
      <w:proofErr w:type="spellStart"/>
      <w:r>
        <w:rPr>
          <w:rFonts w:ascii="Times New Roman" w:hAnsi="Times New Roman" w:cs="Times New Roman"/>
        </w:rPr>
        <w:t>Лысогорского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Саратовской области».                                                                                                                                                   Согласно ст.29 Налогового кодекса РФ уполномоченный представитель организации осуществляет свои полномочия на основании доверенности, выдаваемой в порядке, установленном гражданским законодательством РФ.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Уплата налога на добавленную стоимость  производится в случае продажи через аукцион муниципального имущества.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Распространить действие настоящего приказа на отношения, возникшие с 1января 2012 года.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 Учетная политика применяется с момента ее утверждения последовательно из года в год. Изменение  учетной  политики вводится с начала  финансового года или в случае: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-изменения законодательства Российской Федерации или нормативных актов по бухгалтерскому учету;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-разработки учреждением новых способов ведения бухгалтерского учета;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-изменения условий деятельности.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Настоящая  учетная политика является обязательной.</w:t>
      </w:r>
    </w:p>
    <w:p w:rsidR="005F0F41" w:rsidRDefault="005F0F41" w:rsidP="005F0F4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приказа  оставляю за собой.</w:t>
      </w:r>
    </w:p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МО:                                        Е.В.Тишина</w:t>
      </w:r>
    </w:p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</w:p>
    <w:p w:rsidR="005F0F41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5F0F41" w:rsidRPr="00A5673B" w:rsidRDefault="005F0F41" w:rsidP="005F0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МУ «ЦБ»:                               </w:t>
      </w:r>
      <w:proofErr w:type="spellStart"/>
      <w:r>
        <w:rPr>
          <w:rFonts w:ascii="Times New Roman" w:hAnsi="Times New Roman" w:cs="Times New Roman"/>
        </w:rPr>
        <w:t>Г.В.Сороконенко</w:t>
      </w:r>
      <w:proofErr w:type="spellEnd"/>
    </w:p>
    <w:p w:rsidR="005F0F41" w:rsidRDefault="005F0F41" w:rsidP="005F0F41">
      <w:pPr>
        <w:rPr>
          <w:rFonts w:ascii="Times New Roman" w:hAnsi="Times New Roman" w:cs="Times New Roman"/>
          <w:b/>
        </w:rPr>
      </w:pPr>
    </w:p>
    <w:sectPr w:rsidR="005F0F41" w:rsidSect="002A42D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329A"/>
    <w:multiLevelType w:val="hybridMultilevel"/>
    <w:tmpl w:val="5CEEA84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559CA"/>
    <w:multiLevelType w:val="hybridMultilevel"/>
    <w:tmpl w:val="AB72A0BA"/>
    <w:lvl w:ilvl="0" w:tplc="F1BC5D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B6895"/>
    <w:multiLevelType w:val="hybridMultilevel"/>
    <w:tmpl w:val="B456FA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B6148"/>
    <w:multiLevelType w:val="hybridMultilevel"/>
    <w:tmpl w:val="A7B421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747AB"/>
    <w:multiLevelType w:val="hybridMultilevel"/>
    <w:tmpl w:val="6732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F41"/>
    <w:rsid w:val="002A42D6"/>
    <w:rsid w:val="005F0F41"/>
    <w:rsid w:val="008944BF"/>
    <w:rsid w:val="00A5673B"/>
    <w:rsid w:val="00C2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0F4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F41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No Spacing"/>
    <w:uiPriority w:val="1"/>
    <w:qFormat/>
    <w:rsid w:val="005F0F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0F41"/>
    <w:pPr>
      <w:ind w:left="720"/>
      <w:contextualSpacing/>
    </w:pPr>
  </w:style>
  <w:style w:type="table" w:styleId="a5">
    <w:name w:val="Table Grid"/>
    <w:basedOn w:val="a1"/>
    <w:uiPriority w:val="59"/>
    <w:rsid w:val="005F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2011-12-28T12:59:00Z</cp:lastPrinted>
  <dcterms:created xsi:type="dcterms:W3CDTF">2011-12-28T12:45:00Z</dcterms:created>
  <dcterms:modified xsi:type="dcterms:W3CDTF">2011-12-28T13:01:00Z</dcterms:modified>
</cp:coreProperties>
</file>